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ANNOTATED LEGAL STATEMENT</w:t>
      </w:r>
    </w:p>
    <w:p>
      <w:pPr>
        <w:spacing w:after="120"/>
        <w:jc w:val="center"/>
      </w:pPr>
      <w:r>
        <w:rPr>
          <w:b/>
          <w:bCs/>
          <w:sz w:val="28"/>
          <w:szCs w:val="28"/>
        </w:rPr>
        <w:t xml:space="preserve">Ministry of Labor Opinion 1266/2015</w:t>
      </w:r>
    </w:p>
    <w:p>
      <w:pPr>
        <w:spacing w:after="120"/>
        <w:jc w:val="center"/>
      </w:pPr>
      <w:r>
        <w:rPr>
          <w:sz w:val="26"/>
          <w:szCs w:val="26"/>
        </w:rPr>
        <w:t xml:space="preserve">Employer Obligations Under Decree 17/1964</w:t>
      </w:r>
    </w:p>
    <w:p>
      <w:pPr>
        <w:spacing w:after="360"/>
        <w:jc w:val="center"/>
      </w:pPr>
      <w:r>
        <w:rPr>
          <w:sz w:val="26"/>
          <w:szCs w:val="26"/>
        </w:rPr>
        <w:t xml:space="preserve">And the Meaning of "Insurance" Under International Law</w:t>
      </w:r>
    </w:p>
    <w:p>
      <w:pPr>
        <w:spacing w:after="240"/>
        <w:jc w:val="center"/>
      </w:pPr>
      <w:r>
        <w:rPr>
          <w:sz w:val="24"/>
          <w:szCs w:val="24"/>
        </w:rPr>
        <w:t xml:space="preserve">Re: Professor Thomas Hornig</w:t>
      </w:r>
    </w:p>
    <w:p>
      <w:pPr>
        <w:spacing w:after="240"/>
        <w:jc w:val="center"/>
      </w:pPr>
      <w:r>
        <w:rPr>
          <w:sz w:val="24"/>
          <w:szCs w:val="24"/>
        </w:rPr>
        <w:t xml:space="preserve">Lebanese National Higher Conservatory of Music</w:t>
      </w:r>
    </w:p>
    <w:p>
      <w:pPr>
        <w:spacing w:after="480"/>
        <w:jc w:val="center"/>
      </w:pPr>
      <w:r>
        <w:rPr>
          <w:b/>
          <w:bCs/>
          <w:sz w:val="24"/>
          <w:szCs w:val="24"/>
        </w:rPr>
        <w:t xml:space="preserve">November 2025 — UPDATED VERSION</w:t>
      </w:r>
    </w:p>
    <w:p>
      <w:pPr>
        <w:shd w:fill="FFFFCC" w:val="clear"/>
        <w:spacing w:after="360"/>
      </w:pPr>
      <w:r>
        <w:rPr>
          <w:b/>
          <w:bCs/>
        </w:rPr>
        <w:t xml:space="preserve">NOTE: </w:t>
      </w:r>
      <w:r>
        <w:t xml:space="preserve">This statement cross-references the numbered annotations </w:t>
      </w:r>
      <w:r>
        <w:rPr>
          <w:b/>
          <w:bCs/>
        </w:rPr>
        <w:t xml:space="preserve">①②③④⑤⑥⑦⑧</w:t>
      </w:r>
      <w:r>
        <w:t xml:space="preserve"> in the accompanying annotated images of Opinion 1266/2015. Each circled number corresponds to a specific passage in the original document.</w:t>
      </w:r>
    </w:p>
    <w:p>
      <w:pPr>
        <w:pStyle w:val="Heading1"/>
      </w:pPr>
      <w:r>
        <w:t xml:space="preserve">I. INTRODUCTION AND PURPOSE</w:t>
      </w:r>
    </w:p>
    <w:p>
      <w:pPr>
        <w:pStyle w:val="BodyText"/>
      </w:pPr>
      <w:r>
        <w:t xml:space="preserve">This annotated statement analyzes Ministry of Labor Opinion 1266/2015 (also referenced as Opinion M/1266 dated 7/6/2015), which established the legal classification and employer obligations applicable to Professor Thomas Hornig, an American citizen employed at the Lebanese National Higher Conservatory of Music since 1994.</w:t>
      </w:r>
    </w:p>
    <w:p>
      <w:pPr>
        <w:pStyle w:val="BodyText"/>
      </w:pPr>
      <w:r>
        <w:t xml:space="preserve">The purpose of this statement is to document the specific findings of Opinion 1266/2015, trace its reference to Decree 17/1964, analyze the meaning of the unqualified term "insurance" (التأمين) as used in that decree, and establish the scope of the employer's obligations under both Lebanese and international law.</w:t>
      </w:r>
    </w:p>
    <w:p>
      <w:pPr>
        <w:pStyle w:val="Heading1"/>
      </w:pPr>
      <w:r>
        <w:t xml:space="preserve">II. OPINION 1266/2015: COMPLETE TEXT AND ANNOTATION</w:t>
      </w:r>
    </w:p>
    <w:p>
      <w:pPr>
        <w:pStyle w:val="Heading2"/>
      </w:pPr>
      <w:r>
        <w:t xml:space="preserve">A. Document Identification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000000" w:sz="1"/>
              <w:left w:val="single" w:color="000000" w:sz="1"/>
              <w:bottom w:val="single" w:color="000000" w:sz="1"/>
              <w:right w:val="single" w:color="000000" w:sz="1"/>
            </w:tcBorders>
          </w:tcPr>
          <w:p>
            <w:r>
              <w:rPr>
                <w:b/>
                <w:bCs/>
              </w:rPr>
              <w:t xml:space="preserve">Issuing Authority</w:t>
            </w:r>
          </w:p>
        </w:tc>
        <w:tc>
          <w:tcPr>
            <w:tcW w:type="dxa" w:w="5860"/>
            <w:tcBorders>
              <w:top w:val="single" w:color="000000" w:sz="1"/>
              <w:left w:val="single" w:color="000000" w:sz="1"/>
              <w:bottom w:val="single" w:color="000000" w:sz="1"/>
              <w:right w:val="single" w:color="000000" w:sz="1"/>
            </w:tcBorders>
          </w:tcPr>
          <w:p>
            <w:r>
              <w:t xml:space="preserve">Ministry of Labor, Lebanese Republic</w:t>
            </w:r>
          </w:p>
        </w:tc>
      </w:tr>
      <w:tr>
        <w:tc>
          <w:tcPr>
            <w:tcW w:type="dxa" w:w="3500"/>
            <w:tcBorders>
              <w:top w:val="single" w:color="000000" w:sz="1"/>
              <w:left w:val="single" w:color="000000" w:sz="1"/>
              <w:bottom w:val="single" w:color="000000" w:sz="1"/>
              <w:right w:val="single" w:color="000000" w:sz="1"/>
            </w:tcBorders>
          </w:tcPr>
          <w:p>
            <w:r>
              <w:rPr>
                <w:b/>
                <w:bCs/>
              </w:rPr>
              <w:t xml:space="preserve">Office</w:t>
            </w:r>
          </w:p>
        </w:tc>
        <w:tc>
          <w:tcPr>
            <w:tcW w:type="dxa" w:w="5860"/>
            <w:tcBorders>
              <w:top w:val="single" w:color="000000" w:sz="1"/>
              <w:left w:val="single" w:color="000000" w:sz="1"/>
              <w:bottom w:val="single" w:color="000000" w:sz="1"/>
              <w:right w:val="single" w:color="000000" w:sz="1"/>
            </w:tcBorders>
          </w:tcPr>
          <w:p>
            <w:r>
              <w:t xml:space="preserve">Legal Affairs and Guardianship Section (قسم الشؤون القانونية والوصاية)</w:t>
            </w:r>
          </w:p>
        </w:tc>
      </w:tr>
      <w:tr>
        <w:tc>
          <w:tcPr>
            <w:tcW w:type="dxa" w:w="3500"/>
            <w:tcBorders>
              <w:top w:val="single" w:color="000000" w:sz="1"/>
              <w:left w:val="single" w:color="000000" w:sz="1"/>
              <w:bottom w:val="single" w:color="000000" w:sz="1"/>
              <w:right w:val="single" w:color="000000" w:sz="1"/>
            </w:tcBorders>
          </w:tcPr>
          <w:p>
            <w:r>
              <w:rPr>
                <w:b/>
                <w:bCs/>
              </w:rPr>
              <w:t xml:space="preserve">Opinion Number</w:t>
            </w:r>
          </w:p>
        </w:tc>
        <w:tc>
          <w:tcPr>
            <w:tcW w:type="dxa" w:w="5860"/>
            <w:tcBorders>
              <w:top w:val="single" w:color="000000" w:sz="1"/>
              <w:left w:val="single" w:color="000000" w:sz="1"/>
              <w:bottom w:val="single" w:color="000000" w:sz="1"/>
              <w:right w:val="single" w:color="000000" w:sz="1"/>
            </w:tcBorders>
          </w:tcPr>
          <w:p>
            <w:r>
              <w:t xml:space="preserve">1266/M (م/١٢٦٦)</w:t>
            </w:r>
          </w:p>
        </w:tc>
      </w:tr>
      <w:tr>
        <w:tc>
          <w:tcPr>
            <w:tcW w:type="dxa" w:w="3500"/>
            <w:tcBorders>
              <w:top w:val="single" w:color="000000" w:sz="1"/>
              <w:left w:val="single" w:color="000000" w:sz="1"/>
              <w:bottom w:val="single" w:color="000000" w:sz="1"/>
              <w:right w:val="single" w:color="000000" w:sz="1"/>
            </w:tcBorders>
          </w:tcPr>
          <w:p>
            <w:r>
              <w:rPr>
                <w:b/>
                <w:bCs/>
              </w:rPr>
              <w:t xml:space="preserve">Date</w:t>
            </w:r>
          </w:p>
        </w:tc>
        <w:tc>
          <w:tcPr>
            <w:tcW w:type="dxa" w:w="5860"/>
            <w:tcBorders>
              <w:top w:val="single" w:color="000000" w:sz="1"/>
              <w:left w:val="single" w:color="000000" w:sz="1"/>
              <w:bottom w:val="single" w:color="000000" w:sz="1"/>
              <w:right w:val="single" w:color="000000" w:sz="1"/>
            </w:tcBorders>
          </w:tcPr>
          <w:p>
            <w:r>
              <w:t xml:space="preserve">7 June 2015 (٧/٦/٢٠١٥)</w:t>
            </w:r>
          </w:p>
        </w:tc>
      </w:tr>
      <w:tr>
        <w:tc>
          <w:tcPr>
            <w:tcW w:type="dxa" w:w="3500"/>
            <w:tcBorders>
              <w:top w:val="single" w:color="000000" w:sz="1"/>
              <w:left w:val="single" w:color="000000" w:sz="1"/>
              <w:bottom w:val="single" w:color="000000" w:sz="1"/>
              <w:right w:val="single" w:color="000000" w:sz="1"/>
            </w:tcBorders>
          </w:tcPr>
          <w:p>
            <w:r>
              <w:rPr>
                <w:b/>
                <w:bCs/>
              </w:rPr>
              <w:t xml:space="preserve">Subject</w:t>
            </w:r>
          </w:p>
        </w:tc>
        <w:tc>
          <w:tcPr>
            <w:tcW w:type="dxa" w:w="5860"/>
            <w:tcBorders>
              <w:top w:val="single" w:color="000000" w:sz="1"/>
              <w:left w:val="single" w:color="000000" w:sz="1"/>
              <w:bottom w:val="single" w:color="000000" w:sz="1"/>
              <w:right w:val="single" w:color="000000" w:sz="1"/>
            </w:tcBorders>
          </w:tcPr>
          <w:p>
            <w:r>
              <w:t xml:space="preserve">Legal Consultation (استشارة قانونية)</w:t>
            </w:r>
          </w:p>
        </w:tc>
      </w:tr>
      <w:tr>
        <w:tc>
          <w:tcPr>
            <w:tcW w:type="dxa" w:w="3500"/>
            <w:tcBorders>
              <w:top w:val="single" w:color="000000" w:sz="1"/>
              <w:left w:val="single" w:color="000000" w:sz="1"/>
              <w:bottom w:val="single" w:color="000000" w:sz="1"/>
              <w:right w:val="single" w:color="000000" w:sz="1"/>
            </w:tcBorders>
          </w:tcPr>
          <w:p>
            <w:r>
              <w:rPr>
                <w:b/>
                <w:bCs/>
              </w:rPr>
              <w:t xml:space="preserve">Signatory</w:t>
            </w:r>
          </w:p>
        </w:tc>
        <w:tc>
          <w:tcPr>
            <w:tcW w:type="dxa" w:w="5860"/>
            <w:tcBorders>
              <w:top w:val="single" w:color="000000" w:sz="1"/>
              <w:left w:val="single" w:color="000000" w:sz="1"/>
              <w:bottom w:val="single" w:color="000000" w:sz="1"/>
              <w:right w:val="single" w:color="000000" w:sz="1"/>
            </w:tcBorders>
          </w:tcPr>
          <w:p>
            <w:r>
              <w:t xml:space="preserve">Adel Zebian (عادل ذبيان), Head of Legal Affairs and Guardianship Section</w:t>
            </w:r>
          </w:p>
        </w:tc>
      </w:tr>
    </w:tbl>
    <w:p>
      <w:pPr>
        <w:spacing w:before="360"/>
      </w:pPr>
    </w:p>
    <w:p>
      <w:pPr>
        <w:pStyle w:val="Heading2"/>
      </w:pPr>
      <w:r>
        <w:t xml:space="preserve">B. Key Findings of Opinion 1266/2015</w:t>
      </w:r>
    </w:p>
    <w:p>
      <w:pPr>
        <w:pStyle w:val="Heading3"/>
      </w:pPr>
      <w:r>
        <w:t xml:space="preserve">Finding 1 (أولاً / FIRST): Classification Outside Labor Law and NSSF</w:t>
      </w:r>
    </w:p>
    <w:p>
      <w:pPr>
        <w:pStyle w:val="AnnotationRef"/>
      </w:pPr>
      <w:r>
        <w:t xml:space="preserve">→ See Annotation ① (RED) in accompanying document</w:t>
      </w:r>
    </w:p>
    <w:p>
      <w:pPr>
        <w:pStyle w:val="BodyText"/>
      </w:pPr>
      <w:r>
        <w:rPr>
          <w:b/>
          <w:bCs/>
        </w:rPr>
        <w:t xml:space="preserve">Original Arabic Text:</w:t>
      </w:r>
    </w:p>
    <w:p>
      <w:pPr>
        <w:pStyle w:val="Quote"/>
        <w:bidi/>
        <w:jc w:val="right"/>
      </w:pPr>
      <w:r>
        <w:rPr>
          <w:rFonts w:ascii="Times New Roman" w:cs="Times New Roman" w:eastAsia="Times New Roman" w:hAnsi="Times New Roman"/>
        </w:rPr>
        <w:t xml:space="preserve">"أولاً: أن السيد توماس هورنينغ هو أحد أقدم الأساتذة في المعهد الوطني منذ سنة ١٩٩٤ (حسب إفادته) أي أنه لا يخضع لأحكام قانون العمل اللبناني باعتباره لا ينطبق عليه والصندوق الوطني للضمان الاجتماعي بالنسبة للتصنيف — الكونسرفتوار، وبموجب المادة ١٧ من القرار رقم ٢ بتاريخ ٢٦/٨/١٩٩٥"</w:t>
      </w:r>
    </w:p>
    <w:p>
      <w:pPr>
        <w:pStyle w:val="BodyText"/>
      </w:pPr>
      <w:r>
        <w:rPr>
          <w:b/>
          <w:bCs/>
        </w:rPr>
        <w:t xml:space="preserve">Translation:</w:t>
      </w:r>
    </w:p>
    <w:p>
      <w:pPr>
        <w:pStyle w:val="Quote"/>
      </w:pPr>
      <w:r>
        <w:t xml:space="preserve">"FIRST: Mr. Thomas Hornig is one of the most senior professors at the National Institute [Conservatory] since the year 1994 (according to his statement), meaning that he is not subject to the provisions of the Lebanese Labor Law as it does not apply to him, nor to the National Social Security Fund with respect to classification — the Conservatory, and pursuant to Article 17 of Decision No. 2 dated 26/8/1995."</w:t>
      </w:r>
    </w:p>
    <w:p>
      <w:pPr>
        <w:pStyle w:val="BodyText"/>
      </w:pPr>
      <w:r>
        <w:rPr>
          <w:b/>
          <w:bCs/>
        </w:rPr>
        <w:t xml:space="preserve">Legal Significance: </w:t>
      </w:r>
      <w:r>
        <w:t xml:space="preserve">This finding establishes that Professor Hornig is classified outside the private-sector employment regime. He is not governed by Lebanese Labor Law and is not subject to NSSF for classification purposes. This classification is based on Article 17 of Decision No. 2/1995 concerning the teaching staff at the Conservatory.</w:t>
      </w:r>
    </w:p>
    <w:p>
      <w:pPr>
        <w:pStyle w:val="AnnotationRef"/>
      </w:pPr>
      <w:r>
        <w:t xml:space="preserve">→ See Annotation ② (PURPLE) for Decision 2/1995 reference</w:t>
      </w:r>
    </w:p>
    <w:p>
      <w:pPr>
        <w:pStyle w:val="Heading3"/>
      </w:pPr>
      <w:r>
        <w:t xml:space="preserve">Finding 2: State Employee Regime for Healthcare and Retirement</w:t>
      </w:r>
    </w:p>
    <w:p>
      <w:pPr>
        <w:pStyle w:val="AnnotationRef"/>
      </w:pPr>
      <w:r>
        <w:t xml:space="preserve">→ See Annotation ③ (ORANGE) in accompanying document</w:t>
      </w:r>
    </w:p>
    <w:p>
      <w:pPr>
        <w:pStyle w:val="BodyText"/>
      </w:pPr>
      <w:r>
        <w:rPr>
          <w:b/>
          <w:bCs/>
        </w:rPr>
        <w:t xml:space="preserve">Original Arabic Text (continuation):</w:t>
      </w:r>
    </w:p>
    <w:p>
      <w:pPr>
        <w:pStyle w:val="Quote"/>
        <w:bidi/>
        <w:jc w:val="right"/>
      </w:pPr>
      <w:r>
        <w:rPr>
          <w:rFonts w:ascii="Times New Roman" w:cs="Times New Roman" w:eastAsia="Times New Roman" w:hAnsi="Times New Roman"/>
        </w:rPr>
        <w:t xml:space="preserve">"ولا ينطبق على أفراد الهيئة التعليمية الاشتراكات في المرض والأمومة والتعاضد، بل لموظفي الدولة وفق نظام التقاعد وتعويض الصرف من الخدمة"</w:t>
      </w:r>
    </w:p>
    <w:p>
      <w:pPr>
        <w:pStyle w:val="BodyText"/>
      </w:pPr>
      <w:r>
        <w:rPr>
          <w:b/>
          <w:bCs/>
        </w:rPr>
        <w:t xml:space="preserve">Translation:</w:t>
      </w:r>
    </w:p>
    <w:p>
      <w:pPr>
        <w:pStyle w:val="Quote"/>
      </w:pPr>
      <w:r>
        <w:t xml:space="preserve">"The contributions for sickness, maternity, and mutual aid [cooperative healthcare] do not apply to members of the teaching staff; rather, [they are subject to] the State Employees regime for retirement and end-of-service indemnity."</w:t>
      </w:r>
    </w:p>
    <w:p>
      <w:pPr>
        <w:pStyle w:val="BodyText"/>
      </w:pPr>
      <w:r>
        <w:rPr>
          <w:b/>
          <w:bCs/>
        </w:rPr>
        <w:t xml:space="preserve">Legal Significance: </w:t>
      </w:r>
      <w:r>
        <w:t xml:space="preserve">This finding explicitly places Professor Hornig under the State Employee regime (نظام موظفي الدولة) for purposes of healthcare (via the Cooperative for Civil Servants / تعاونية موظفي الدولة), retirement, and end-of-service indemnity. The NSSF sickness and maternity branches do not apply to him — not because he is excluded, but because he belongs to a different, superior regime: that of civil servants.</w:t>
      </w:r>
    </w:p>
    <w:p>
      <w:pPr>
        <w:pStyle w:val="Heading3"/>
      </w:pPr>
      <w:r>
        <w:t xml:space="preserve">Finding 3 (ثانياً / SECOND): Employer Responsibility for Residency, Work Permits, and Insurance</w:t>
      </w:r>
    </w:p>
    <w:p>
      <w:pPr>
        <w:pStyle w:val="AnnotationRef"/>
      </w:pPr>
      <w:r>
        <w:t xml:space="preserve">→ See Annotations ⑤ (BLUE) and ⑥ (GREEN) in accompanying document</w:t>
      </w:r>
    </w:p>
    <w:p>
      <w:pPr>
        <w:pStyle w:val="BodyText"/>
      </w:pPr>
      <w:r>
        <w:rPr>
          <w:b/>
          <w:bCs/>
        </w:rPr>
        <w:t xml:space="preserve">Original Arabic Text:</w:t>
      </w:r>
    </w:p>
    <w:p>
      <w:pPr>
        <w:pStyle w:val="Quote"/>
        <w:bidi/>
        <w:jc w:val="right"/>
      </w:pPr>
      <w:r>
        <w:rPr>
          <w:rFonts w:ascii="Times New Roman" w:cs="Times New Roman" w:eastAsia="Times New Roman" w:hAnsi="Times New Roman"/>
        </w:rPr>
        <w:t xml:space="preserve">"ثانياً: بالنسبة لرسوم الإقامة والعمل والإجازة، فإنه وفق المرسوم ١٧ بتاريخ ١٨/٩/١٩٦٤ (تنظيم عمل الأجانب) فإنه تقع على صاحب العمل أي المعهد الوطني الخاص بالموسيقى، وكذلك عقد العمل والتأمين."</w:t>
      </w:r>
    </w:p>
    <w:p>
      <w:pPr>
        <w:pStyle w:val="BodyText"/>
      </w:pPr>
      <w:r>
        <w:rPr>
          <w:b/>
          <w:bCs/>
        </w:rPr>
        <w:t xml:space="preserve">Translation:</w:t>
      </w:r>
    </w:p>
    <w:p>
      <w:pPr>
        <w:pStyle w:val="Quote"/>
      </w:pPr>
      <w:r>
        <w:t xml:space="preserve">"SECOND: With respect to residency fees, work [permit] fees, and leave, pursuant to Decree 17 dated 18/9/1964 (Regulation of Foreign Workers' Employment), the responsibility falls upon the employer, i.e., the National Institute of Music [Conservatory], and likewise the employment contract and insurance."</w:t>
      </w:r>
    </w:p>
    <w:p>
      <w:pPr>
        <w:pStyle w:val="BodyText"/>
      </w:pPr>
      <w:r>
        <w:rPr>
          <w:b/>
          <w:bCs/>
        </w:rPr>
        <w:t xml:space="preserve">Legal Significance: </w:t>
      </w:r>
      <w:r>
        <w:t xml:space="preserve">This is the critical finding for purposes of this statement. Opinion 1266/2015, citing Decree 17/1964, establishes that the employer (the Conservatory) bears responsibility for:</w:t>
      </w:r>
    </w:p>
    <w:p>
      <w:pPr>
        <w:pStyle w:val="ListParagraph"/>
        <w:numPr>
          <w:ilvl w:val="0"/>
          <w:numId w:val="2"/>
        </w:numPr>
      </w:pPr>
      <w:r>
        <w:rPr>
          <w:b/>
          <w:bCs/>
        </w:rPr>
        <w:t xml:space="preserve">Residency fees</w:t>
      </w:r>
      <w:r>
        <w:t xml:space="preserve"> (رسوم الإقامة)</w:t>
      </w:r>
    </w:p>
    <w:p>
      <w:pPr>
        <w:pStyle w:val="ListParagraph"/>
        <w:numPr>
          <w:ilvl w:val="0"/>
          <w:numId w:val="2"/>
        </w:numPr>
      </w:pPr>
      <w:r>
        <w:rPr>
          <w:b/>
          <w:bCs/>
        </w:rPr>
        <w:t xml:space="preserve">Work permit fees</w:t>
      </w:r>
      <w:r>
        <w:t xml:space="preserve"> (رسوم العمل)</w:t>
      </w:r>
    </w:p>
    <w:p>
      <w:pPr>
        <w:pStyle w:val="ListParagraph"/>
        <w:numPr>
          <w:ilvl w:val="0"/>
          <w:numId w:val="2"/>
        </w:numPr>
      </w:pPr>
      <w:r>
        <w:rPr>
          <w:b/>
          <w:bCs/>
        </w:rPr>
        <w:t xml:space="preserve">Leave</w:t>
      </w:r>
      <w:r>
        <w:t xml:space="preserve"> (الإجازة)</w:t>
      </w:r>
    </w:p>
    <w:p>
      <w:pPr>
        <w:pStyle w:val="ListParagraph"/>
        <w:numPr>
          <w:ilvl w:val="0"/>
          <w:numId w:val="2"/>
        </w:numPr>
      </w:pPr>
      <w:r>
        <w:rPr>
          <w:b/>
          <w:bCs/>
        </w:rPr>
        <w:t xml:space="preserve">Employment contract</w:t>
      </w:r>
      <w:r>
        <w:t xml:space="preserve"> (عقد العمل)</w:t>
      </w:r>
    </w:p>
    <w:p>
      <w:pPr>
        <w:pStyle w:val="ListParagraph"/>
        <w:numPr>
          <w:ilvl w:val="0"/>
          <w:numId w:val="2"/>
        </w:numPr>
      </w:pPr>
      <w:r>
        <w:rPr>
          <w:b/>
          <w:bCs/>
        </w:rPr>
        <w:t xml:space="preserve">Insurance</w:t>
      </w:r>
      <w:r>
        <w:t xml:space="preserve"> (التأمين) — </w:t>
      </w:r>
      <w:r>
        <w:rPr>
          <w:b/>
          <w:bCs/>
          <w:color w:val="008000"/>
        </w:rPr>
        <w:t xml:space="preserve">SEE ANNOTATION ⑥ (GREEN)</w:t>
      </w:r>
    </w:p>
    <w:p>
      <w:pPr>
        <w:spacing w:before="240"/>
      </w:pPr>
    </w:p>
    <w:p>
      <w:pPr>
        <w:pStyle w:val="Heading3"/>
      </w:pPr>
      <w:r>
        <w:t xml:space="preserve">Finding 4 (ثالثاً / THIRD): Confirmation of Labor Law Exclusion and Instruction to Consult</w:t>
      </w:r>
    </w:p>
    <w:p>
      <w:pPr>
        <w:pStyle w:val="AnnotationRef"/>
      </w:pPr>
      <w:r>
        <w:t xml:space="preserve">→ See Annotations ⑦ (RED) and ⑧ (BLACK) in accompanying document</w:t>
      </w:r>
    </w:p>
    <w:p>
      <w:pPr>
        <w:pStyle w:val="BodyText"/>
      </w:pPr>
      <w:r>
        <w:rPr>
          <w:b/>
          <w:bCs/>
        </w:rPr>
        <w:t xml:space="preserve">Original Arabic Text:</w:t>
      </w:r>
    </w:p>
    <w:p>
      <w:pPr>
        <w:pStyle w:val="Quote"/>
        <w:bidi/>
        <w:jc w:val="right"/>
      </w:pPr>
      <w:r>
        <w:rPr>
          <w:rFonts w:ascii="Times New Roman" w:cs="Times New Roman" w:eastAsia="Times New Roman" w:hAnsi="Times New Roman"/>
        </w:rPr>
        <w:t xml:space="preserve">"ثالثاً: بالنسبة للمحور الأساسي، وحيث أن المعهد الوطني للموسيقى له نظامه وهو كأستاذ لا يخضع لأي حكم من أحكام قانون العمل اللبناني، فعليه مراجعة المعهد بشأن العقد الموقع بين الطرفين، وعلى السيد توماس مراجعة إدارة المعهد بالنسبة لما عليه سوى مراجعة المختص للتفضل."</w:t>
      </w:r>
    </w:p>
    <w:p>
      <w:pPr>
        <w:pStyle w:val="BodyText"/>
      </w:pPr>
      <w:r>
        <w:rPr>
          <w:b/>
          <w:bCs/>
        </w:rPr>
        <w:t xml:space="preserve">Translation:</w:t>
      </w:r>
    </w:p>
    <w:p>
      <w:pPr>
        <w:pStyle w:val="Quote"/>
      </w:pPr>
      <w:r>
        <w:t xml:space="preserve">"THIRD: With respect to the central issue, and given that the National Institute of Music has its own regulatory structure and he, as a professor, is not subject to any provision of the Lebanese Labor Law, he should therefore consult with the Institute regarding the contract signed between the two parties, and Mr. Thomas should consult with the Institute's administration regarding what is due to him, or consult with the relevant authority for [further] consideration."</w:t>
      </w:r>
    </w:p>
    <w:p>
      <w:pPr>
        <w:pStyle w:val="BodyText"/>
      </w:pPr>
      <w:r>
        <w:rPr>
          <w:b/>
          <w:bCs/>
        </w:rPr>
        <w:t xml:space="preserve">Legal Significance: </w:t>
      </w:r>
      <w:r>
        <w:t xml:space="preserve">This finding provides the </w:t>
      </w:r>
      <w:r>
        <w:rPr>
          <w:b/>
          <w:bCs/>
          <w:u w:val="single"/>
        </w:rPr>
        <w:t xml:space="preserve">THIRD explicit confirmation</w:t>
      </w:r>
      <w:r>
        <w:t xml:space="preserve"> that Professor Hornig is not subject to Lebanese Labor Law. The Opinion states this three separate times:</w:t>
      </w:r>
    </w:p>
    <w:p>
      <w:pPr>
        <w:pStyle w:val="ListParagraph"/>
        <w:numPr>
          <w:ilvl w:val="0"/>
          <w:numId w:val="3"/>
        </w:numPr>
      </w:pPr>
      <w:r>
        <w:t xml:space="preserve">In أولاً (Finding 1): "لا يخضع لأحكام قانون العمل اللبناني"</w:t>
      </w:r>
    </w:p>
    <w:p>
      <w:pPr>
        <w:pStyle w:val="ListParagraph"/>
        <w:numPr>
          <w:ilvl w:val="0"/>
          <w:numId w:val="3"/>
        </w:numPr>
      </w:pPr>
      <w:r>
        <w:t xml:space="preserve">In أولاً (Finding 1): "باعتباره لا ينطبق عليه"</w:t>
      </w:r>
    </w:p>
    <w:p>
      <w:pPr>
        <w:pStyle w:val="ListParagraph"/>
        <w:numPr>
          <w:ilvl w:val="0"/>
          <w:numId w:val="3"/>
        </w:numPr>
      </w:pPr>
      <w:r>
        <w:t xml:space="preserve">In ثالثاً (Finding 4): "لا يخضع لأي حكم من أحكام قانون العمل اللبناني"</w:t>
      </w:r>
    </w:p>
    <w:p>
      <w:pPr>
        <w:pStyle w:val="BodyText"/>
      </w:pPr>
      <w:r>
        <w:t xml:space="preserve">This triple repetition demonstrates that the Ministry of Labor was emphatic and unambiguous about Professor Hornig's classification outside the Labor Law regime.</w:t>
      </w:r>
    </w:p>
    <w:p>
      <w:pPr>
        <w:pStyle w:val="Heading1"/>
      </w:pPr>
      <w:r>
        <w:t xml:space="preserve">III. THE MEANING OF "INSURANCE" (التأمين)</w:t>
      </w:r>
    </w:p>
    <w:p>
      <w:pPr>
        <w:pStyle w:val="Heading2"/>
      </w:pPr>
      <w:r>
        <w:t xml:space="preserve">A. The Principle of Statutory Interpretation</w:t>
      </w:r>
    </w:p>
    <w:p>
      <w:pPr>
        <w:pStyle w:val="BodyText"/>
      </w:pPr>
      <w:r>
        <w:t xml:space="preserve">Opinion 1266/2015 and Decree 17/1964 use the term "insurance" (التأمين) without qualification or limitation. The term is not restricted to any specific type of insurance (e.g., work accident insurance, health insurance, life insurance).</w:t>
      </w:r>
    </w:p>
    <w:p>
      <w:pPr>
        <w:pStyle w:val="BodyText"/>
      </w:pPr>
      <w:r>
        <w:t xml:space="preserve">Under the principle of statutory interpretation applicable in Lebanese law (which follows the French civil law tradition): </w:t>
      </w:r>
      <w:r>
        <w:rPr>
          <w:i/>
          <w:iCs/>
        </w:rPr>
        <w:t xml:space="preserve">"Ubi lex non distinguit, nec nos distinguere debemus"</w:t>
      </w:r>
      <w:r>
        <w:t xml:space="preserve"> — "Where the law does not distinguish, neither should we distinguish."</w:t>
      </w:r>
    </w:p>
    <w:p>
      <w:pPr>
        <w:pStyle w:val="BodyText"/>
      </w:pPr>
      <w:r>
        <w:t xml:space="preserve">When a legal text uses a general term without qualification, the general term is presumed to encompass all instances falling within its scope. If Decree 17/1964 intended to limit the employer's insurance obligation to a specific type, it would have specified. The absence of limitation means the term must be read broadly.</w:t>
      </w:r>
    </w:p>
    <w:p>
      <w:pPr>
        <w:pStyle w:val="Heading2"/>
      </w:pPr>
      <w:r>
        <w:t xml:space="preserve">B. International Law Standards on Employment Insurance</w:t>
      </w:r>
    </w:p>
    <w:p>
      <w:pPr>
        <w:pStyle w:val="BodyText"/>
      </w:pPr>
      <w:r>
        <w:t xml:space="preserve">Lebanon is a member of the International Labour Organization (ILO) and has ratified numerous conventions establishing minimum standards for worker protection. Lebanon has also ratified the International Covenant on Economic, Social and Cultural Rights (ICESCR). These international obligations inform the interpretation of the term "insurance" in Lebanese employment law.</w:t>
      </w:r>
    </w:p>
    <w:p>
      <w:pPr>
        <w:pStyle w:val="Heading3"/>
      </w:pPr>
      <w:r>
        <w:t xml:space="preserve">ILO Convention No. 102 (Social Security Minimum Standards, 1952)</w:t>
      </w:r>
    </w:p>
    <w:p>
      <w:pPr>
        <w:pStyle w:val="BodyText"/>
      </w:pPr>
      <w:r>
        <w:t xml:space="preserve">This foundational convention establishes nine branches of social security that constitute the international baseline for worker protection:</w:t>
      </w:r>
    </w:p>
    <w:p>
      <w:pPr>
        <w:pStyle w:val="ListParagraph"/>
        <w:numPr>
          <w:ilvl w:val="0"/>
          <w:numId w:val="3"/>
        </w:numPr>
      </w:pPr>
      <w:r>
        <w:t xml:space="preserve">Medical care (healthcare/sickness insurance)</w:t>
      </w:r>
    </w:p>
    <w:p>
      <w:pPr>
        <w:pStyle w:val="ListParagraph"/>
        <w:numPr>
          <w:ilvl w:val="0"/>
          <w:numId w:val="3"/>
        </w:numPr>
      </w:pPr>
      <w:r>
        <w:t xml:space="preserve">Sickness benefit (income replacement during illness)</w:t>
      </w:r>
    </w:p>
    <w:p>
      <w:pPr>
        <w:pStyle w:val="ListParagraph"/>
        <w:numPr>
          <w:ilvl w:val="0"/>
          <w:numId w:val="3"/>
        </w:numPr>
      </w:pPr>
      <w:r>
        <w:t xml:space="preserve">Unemployment benefit</w:t>
      </w:r>
    </w:p>
    <w:p>
      <w:pPr>
        <w:pStyle w:val="ListParagraph"/>
        <w:numPr>
          <w:ilvl w:val="0"/>
          <w:numId w:val="3"/>
        </w:numPr>
      </w:pPr>
      <w:r>
        <w:t xml:space="preserve">Old-age benefit (pension/retirement)</w:t>
      </w:r>
    </w:p>
    <w:p>
      <w:pPr>
        <w:pStyle w:val="ListParagraph"/>
        <w:numPr>
          <w:ilvl w:val="0"/>
          <w:numId w:val="3"/>
        </w:numPr>
      </w:pPr>
      <w:r>
        <w:t xml:space="preserve">Employment injury benefit (work accidents and occupational diseases)</w:t>
      </w:r>
    </w:p>
    <w:p>
      <w:pPr>
        <w:pStyle w:val="ListParagraph"/>
        <w:numPr>
          <w:ilvl w:val="0"/>
          <w:numId w:val="3"/>
        </w:numPr>
      </w:pPr>
      <w:r>
        <w:t xml:space="preserve">Family benefit (family allowances)</w:t>
      </w:r>
    </w:p>
    <w:p>
      <w:pPr>
        <w:pStyle w:val="ListParagraph"/>
        <w:numPr>
          <w:ilvl w:val="0"/>
          <w:numId w:val="3"/>
        </w:numPr>
      </w:pPr>
      <w:r>
        <w:t xml:space="preserve">Maternity benefit</w:t>
      </w:r>
    </w:p>
    <w:p>
      <w:pPr>
        <w:pStyle w:val="ListParagraph"/>
        <w:numPr>
          <w:ilvl w:val="0"/>
          <w:numId w:val="3"/>
        </w:numPr>
      </w:pPr>
      <w:r>
        <w:t xml:space="preserve">Invalidity benefit (disability)</w:t>
      </w:r>
    </w:p>
    <w:p>
      <w:pPr>
        <w:pStyle w:val="ListParagraph"/>
        <w:numPr>
          <w:ilvl w:val="0"/>
          <w:numId w:val="3"/>
        </w:numPr>
      </w:pPr>
      <w:r>
        <w:t xml:space="preserve">Survivors' benefit (death benefits for dependents)</w:t>
      </w:r>
    </w:p>
    <w:p>
      <w:pPr>
        <w:spacing w:before="240"/>
      </w:pPr>
    </w:p>
    <w:p>
      <w:pPr>
        <w:pStyle w:val="Heading3"/>
      </w:pPr>
      <w:r>
        <w:t xml:space="preserve">Conventions Ratified by Lebanon</w:t>
      </w:r>
    </w:p>
    <w:p>
      <w:pPr>
        <w:pStyle w:val="BodyText"/>
      </w:pPr>
      <w:r>
        <w:t xml:space="preserve">Lebanon has ratified the following ILO conventions directly relevant to the interpretation of "insurance" obligations: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000"/>
        <w:gridCol w:w="4500"/>
        <w:gridCol w:w="2860"/>
      </w:tblGrid>
      <w:tr>
        <w:tc>
          <w:tcPr>
            <w:tcW w:type="dxa" w:w="2000"/>
            <w:tcBorders>
              <w:top w:val="single" w:color="000000" w:sz="1"/>
              <w:left w:val="single" w:color="000000" w:sz="1"/>
              <w:bottom w:val="single" w:color="000000" w:sz="1"/>
              <w:right w:val="single" w:color="000000" w:sz="1"/>
            </w:tcBorders>
            <w:shd w:fill="E0E0E0" w:val="clear"/>
          </w:tcPr>
          <w:p>
            <w:r>
              <w:rPr>
                <w:b/>
                <w:bCs/>
              </w:rPr>
              <w:t xml:space="preserve">Convention</w:t>
            </w:r>
          </w:p>
        </w:tc>
        <w:tc>
          <w:tcPr>
            <w:tcW w:type="dxa" w:w="4500"/>
            <w:tcBorders>
              <w:top w:val="single" w:color="000000" w:sz="1"/>
              <w:left w:val="single" w:color="000000" w:sz="1"/>
              <w:bottom w:val="single" w:color="000000" w:sz="1"/>
              <w:right w:val="single" w:color="000000" w:sz="1"/>
            </w:tcBorders>
            <w:shd w:fill="E0E0E0" w:val="clear"/>
          </w:tcPr>
          <w:p>
            <w:r>
              <w:rPr>
                <w:b/>
                <w:bCs/>
              </w:rPr>
              <w:t xml:space="preserve">Subject Matter</w:t>
            </w:r>
          </w:p>
        </w:tc>
        <w:tc>
          <w:tcPr>
            <w:tcW w:type="dxa" w:w="2860"/>
            <w:tcBorders>
              <w:top w:val="single" w:color="000000" w:sz="1"/>
              <w:left w:val="single" w:color="000000" w:sz="1"/>
              <w:bottom w:val="single" w:color="000000" w:sz="1"/>
              <w:right w:val="single" w:color="000000" w:sz="1"/>
            </w:tcBorders>
            <w:shd w:fill="E0E0E0" w:val="clear"/>
          </w:tcPr>
          <w:p>
            <w:r>
              <w:rPr>
                <w:b/>
                <w:bCs/>
              </w:rPr>
              <w:t xml:space="preserve">Year Ratified</w:t>
            </w:r>
          </w:p>
        </w:tc>
      </w:tr>
      <w:tr>
        <w:tc>
          <w:tcPr>
            <w:tcW w:type="dxa" w:w="2000"/>
            <w:tcBorders>
              <w:top w:val="single" w:color="000000" w:sz="1"/>
              <w:left w:val="single" w:color="000000" w:sz="1"/>
              <w:bottom w:val="single" w:color="000000" w:sz="1"/>
              <w:right w:val="single" w:color="000000" w:sz="1"/>
            </w:tcBorders>
          </w:tcPr>
          <w:p>
            <w:r>
              <w:t xml:space="preserve">C.17 (1925)</w:t>
            </w:r>
          </w:p>
        </w:tc>
        <w:tc>
          <w:tcPr>
            <w:tcW w:type="dxa" w:w="4500"/>
            <w:tcBorders>
              <w:top w:val="single" w:color="000000" w:sz="1"/>
              <w:left w:val="single" w:color="000000" w:sz="1"/>
              <w:bottom w:val="single" w:color="000000" w:sz="1"/>
              <w:right w:val="single" w:color="000000" w:sz="1"/>
            </w:tcBorders>
          </w:tcPr>
          <w:p>
            <w:r>
              <w:t xml:space="preserve">Workmen's Compensation (Accidents)</w:t>
            </w:r>
          </w:p>
        </w:tc>
        <w:tc>
          <w:tcPr>
            <w:tcW w:type="dxa" w:w="2860"/>
            <w:tcBorders>
              <w:top w:val="single" w:color="000000" w:sz="1"/>
              <w:left w:val="single" w:color="000000" w:sz="1"/>
              <w:bottom w:val="single" w:color="000000" w:sz="1"/>
              <w:right w:val="single" w:color="000000" w:sz="1"/>
            </w:tcBorders>
          </w:tcPr>
          <w:p>
            <w:r>
              <w:t xml:space="preserve">1977</w:t>
            </w:r>
          </w:p>
        </w:tc>
      </w:tr>
      <w:tr>
        <w:tc>
          <w:tcPr>
            <w:tcW w:type="dxa" w:w="2000"/>
            <w:tcBorders>
              <w:top w:val="single" w:color="000000" w:sz="1"/>
              <w:left w:val="single" w:color="000000" w:sz="1"/>
              <w:bottom w:val="single" w:color="000000" w:sz="1"/>
              <w:right w:val="single" w:color="000000" w:sz="1"/>
            </w:tcBorders>
          </w:tcPr>
          <w:p>
            <w:r>
              <w:t xml:space="preserve">C.19 (1925)</w:t>
            </w:r>
          </w:p>
        </w:tc>
        <w:tc>
          <w:tcPr>
            <w:tcW w:type="dxa" w:w="4500"/>
            <w:tcBorders>
              <w:top w:val="single" w:color="000000" w:sz="1"/>
              <w:left w:val="single" w:color="000000" w:sz="1"/>
              <w:bottom w:val="single" w:color="000000" w:sz="1"/>
              <w:right w:val="single" w:color="000000" w:sz="1"/>
            </w:tcBorders>
          </w:tcPr>
          <w:p>
            <w:r>
              <w:t xml:space="preserve">Equality of Treatment (Accident Compensation)</w:t>
            </w:r>
          </w:p>
        </w:tc>
        <w:tc>
          <w:tcPr>
            <w:tcW w:type="dxa" w:w="2860"/>
            <w:tcBorders>
              <w:top w:val="single" w:color="000000" w:sz="1"/>
              <w:left w:val="single" w:color="000000" w:sz="1"/>
              <w:bottom w:val="single" w:color="000000" w:sz="1"/>
              <w:right w:val="single" w:color="000000" w:sz="1"/>
            </w:tcBorders>
          </w:tcPr>
          <w:p>
            <w:r>
              <w:t xml:space="preserve">1977</w:t>
            </w:r>
          </w:p>
        </w:tc>
      </w:tr>
      <w:tr>
        <w:tc>
          <w:tcPr>
            <w:tcW w:type="dxa" w:w="2000"/>
            <w:tcBorders>
              <w:top w:val="single" w:color="000000" w:sz="1"/>
              <w:left w:val="single" w:color="000000" w:sz="1"/>
              <w:bottom w:val="single" w:color="000000" w:sz="1"/>
              <w:right w:val="single" w:color="000000" w:sz="1"/>
            </w:tcBorders>
          </w:tcPr>
          <w:p>
            <w:r>
              <w:t xml:space="preserve">C.24 (1927)</w:t>
            </w:r>
          </w:p>
        </w:tc>
        <w:tc>
          <w:tcPr>
            <w:tcW w:type="dxa" w:w="4500"/>
            <w:tcBorders>
              <w:top w:val="single" w:color="000000" w:sz="1"/>
              <w:left w:val="single" w:color="000000" w:sz="1"/>
              <w:bottom w:val="single" w:color="000000" w:sz="1"/>
              <w:right w:val="single" w:color="000000" w:sz="1"/>
            </w:tcBorders>
          </w:tcPr>
          <w:p>
            <w:r>
              <w:t xml:space="preserve">Sickness Insurance (Industry)</w:t>
            </w:r>
          </w:p>
        </w:tc>
        <w:tc>
          <w:tcPr>
            <w:tcW w:type="dxa" w:w="2860"/>
            <w:tcBorders>
              <w:top w:val="single" w:color="000000" w:sz="1"/>
              <w:left w:val="single" w:color="000000" w:sz="1"/>
              <w:bottom w:val="single" w:color="000000" w:sz="1"/>
              <w:right w:val="single" w:color="000000" w:sz="1"/>
            </w:tcBorders>
          </w:tcPr>
          <w:p>
            <w:r>
              <w:t xml:space="preserve">1977</w:t>
            </w:r>
          </w:p>
        </w:tc>
      </w:tr>
      <w:tr>
        <w:tc>
          <w:tcPr>
            <w:tcW w:type="dxa" w:w="2000"/>
            <w:tcBorders>
              <w:top w:val="single" w:color="000000" w:sz="1"/>
              <w:left w:val="single" w:color="000000" w:sz="1"/>
              <w:bottom w:val="single" w:color="000000" w:sz="1"/>
              <w:right w:val="single" w:color="000000" w:sz="1"/>
            </w:tcBorders>
          </w:tcPr>
          <w:p>
            <w:r>
              <w:t xml:space="preserve">C.25 (1927)</w:t>
            </w:r>
          </w:p>
        </w:tc>
        <w:tc>
          <w:tcPr>
            <w:tcW w:type="dxa" w:w="4500"/>
            <w:tcBorders>
              <w:top w:val="single" w:color="000000" w:sz="1"/>
              <w:left w:val="single" w:color="000000" w:sz="1"/>
              <w:bottom w:val="single" w:color="000000" w:sz="1"/>
              <w:right w:val="single" w:color="000000" w:sz="1"/>
            </w:tcBorders>
          </w:tcPr>
          <w:p>
            <w:r>
              <w:t xml:space="preserve">Sickness Insurance (Agriculture)</w:t>
            </w:r>
          </w:p>
        </w:tc>
        <w:tc>
          <w:tcPr>
            <w:tcW w:type="dxa" w:w="2860"/>
            <w:tcBorders>
              <w:top w:val="single" w:color="000000" w:sz="1"/>
              <w:left w:val="single" w:color="000000" w:sz="1"/>
              <w:bottom w:val="single" w:color="000000" w:sz="1"/>
              <w:right w:val="single" w:color="000000" w:sz="1"/>
            </w:tcBorders>
          </w:tcPr>
          <w:p>
            <w:r>
              <w:t xml:space="preserve">1977</w:t>
            </w:r>
          </w:p>
        </w:tc>
      </w:tr>
      <w:tr>
        <w:tc>
          <w:tcPr>
            <w:tcW w:type="dxa" w:w="2000"/>
            <w:tcBorders>
              <w:top w:val="single" w:color="000000" w:sz="1"/>
              <w:left w:val="single" w:color="000000" w:sz="1"/>
              <w:bottom w:val="single" w:color="000000" w:sz="1"/>
              <w:right w:val="single" w:color="000000" w:sz="1"/>
            </w:tcBorders>
          </w:tcPr>
          <w:p>
            <w:r>
              <w:t xml:space="preserve">C.111 (1958)</w:t>
            </w:r>
          </w:p>
        </w:tc>
        <w:tc>
          <w:tcPr>
            <w:tcW w:type="dxa" w:w="4500"/>
            <w:tcBorders>
              <w:top w:val="single" w:color="000000" w:sz="1"/>
              <w:left w:val="single" w:color="000000" w:sz="1"/>
              <w:bottom w:val="single" w:color="000000" w:sz="1"/>
              <w:right w:val="single" w:color="000000" w:sz="1"/>
            </w:tcBorders>
          </w:tcPr>
          <w:p>
            <w:r>
              <w:t xml:space="preserve">Discrimination (Employment and Occupation)</w:t>
            </w:r>
          </w:p>
        </w:tc>
        <w:tc>
          <w:tcPr>
            <w:tcW w:type="dxa" w:w="2860"/>
            <w:tcBorders>
              <w:top w:val="single" w:color="000000" w:sz="1"/>
              <w:left w:val="single" w:color="000000" w:sz="1"/>
              <w:bottom w:val="single" w:color="000000" w:sz="1"/>
              <w:right w:val="single" w:color="000000" w:sz="1"/>
            </w:tcBorders>
          </w:tcPr>
          <w:p>
            <w:r>
              <w:t xml:space="preserve">1977</w:t>
            </w:r>
          </w:p>
        </w:tc>
      </w:tr>
    </w:tbl>
    <w:p>
      <w:pPr>
        <w:spacing w:before="360"/>
      </w:pPr>
    </w:p>
    <w:p>
      <w:pPr>
        <w:pStyle w:val="Heading3"/>
      </w:pPr>
      <w:r>
        <w:t xml:space="preserve">ILO Convention No. 19 — Equal Treatment for Foreign Workers</w:t>
      </w:r>
    </w:p>
    <w:p>
      <w:pPr>
        <w:pStyle w:val="BodyText"/>
      </w:pPr>
      <w:r>
        <w:t xml:space="preserve">Convention No. 19, ratified by Lebanon, specifically addresses foreign workers and requires:</w:t>
      </w:r>
    </w:p>
    <w:p>
      <w:pPr>
        <w:pStyle w:val="Quote"/>
      </w:pPr>
      <w:r>
        <w:t xml:space="preserve">"Each Member... undertakes to grant to the nationals of any other Member which shall have ratified the Convention, who suffer personal injury due to industrial accidents happening in its territory, or to their dependants, the same treatment in respect of workmen's compensation as it grants to its own nationals."</w:t>
      </w:r>
    </w:p>
    <w:p>
      <w:pPr>
        <w:pStyle w:val="BodyText"/>
      </w:pPr>
      <w:r>
        <w:t xml:space="preserve">This obligates Lebanon to provide Professor Hornig — as an American worker — the same work accident compensation as Lebanese workers.</w:t>
      </w:r>
    </w:p>
    <w:p>
      <w:pPr>
        <w:pStyle w:val="Heading3"/>
      </w:pPr>
      <w:r>
        <w:t xml:space="preserve">International Covenant on Economic, Social and Cultural Rights</w:t>
      </w:r>
    </w:p>
    <w:p>
      <w:pPr>
        <w:pStyle w:val="BodyText"/>
      </w:pPr>
      <w:r>
        <w:t xml:space="preserve">Lebanon ratified the ICESCR in 1972. Relevant provisions include:</w:t>
      </w:r>
    </w:p>
    <w:p>
      <w:pPr>
        <w:pStyle w:val="BodyText"/>
      </w:pPr>
      <w:r>
        <w:rPr>
          <w:b/>
          <w:bCs/>
        </w:rPr>
        <w:t xml:space="preserve">Article 9: </w:t>
      </w:r>
      <w:r>
        <w:t xml:space="preserve">"The States Parties to the present Covenant recognize the right of everyone to social security, including social insurance."</w:t>
      </w:r>
    </w:p>
    <w:p>
      <w:pPr>
        <w:pStyle w:val="BodyText"/>
      </w:pPr>
      <w:r>
        <w:rPr>
          <w:b/>
          <w:bCs/>
        </w:rPr>
        <w:t xml:space="preserve">Article 12: </w:t>
      </w:r>
      <w:r>
        <w:t xml:space="preserve">"The States Parties to the present Covenant recognize the right of everyone to the enjoyment of the highest attainable standard of physical and mental health."</w:t>
      </w:r>
    </w:p>
    <w:p>
      <w:pPr>
        <w:pStyle w:val="Heading2"/>
      </w:pPr>
      <w:r>
        <w:t xml:space="preserve">C. Conclusion: The Scope of "Insurance" Under International Law</w:t>
      </w:r>
    </w:p>
    <w:p>
      <w:pPr>
        <w:pStyle w:val="BodyText"/>
      </w:pPr>
      <w:r>
        <w:t xml:space="preserve">When Opinion 1266/2015 states that the employer is responsible for "insurance" (التأمين) without qualification, and when Lebanon has ratified international conventions requiring equal treatment for foreign workers, sickness insurance, and social security, the term "insurance" must be interpreted consistently with Lebanon's international obligations to include </w:t>
      </w:r>
      <w:r>
        <w:rPr>
          <w:b/>
          <w:bCs/>
          <w:i/>
          <w:iCs/>
        </w:rPr>
        <w:t xml:space="preserve">at minimum</w:t>
      </w:r>
      <w:r>
        <w:t xml:space="preserve">:</w:t>
      </w:r>
    </w:p>
    <w:p>
      <w:pPr>
        <w:pStyle w:val="ListParagraph"/>
        <w:numPr>
          <w:ilvl w:val="0"/>
          <w:numId w:val="4"/>
        </w:numPr>
      </w:pPr>
      <w:r>
        <w:rPr>
          <w:b/>
          <w:bCs/>
        </w:rPr>
        <w:t xml:space="preserve">Health/sickness insurance</w:t>
      </w:r>
    </w:p>
    <w:p>
      <w:pPr>
        <w:pStyle w:val="ListParagraph"/>
        <w:numPr>
          <w:ilvl w:val="0"/>
          <w:numId w:val="4"/>
        </w:numPr>
      </w:pPr>
      <w:r>
        <w:rPr>
          <w:b/>
          <w:bCs/>
        </w:rPr>
        <w:t xml:space="preserve">Work accident insurance</w:t>
      </w:r>
    </w:p>
    <w:p>
      <w:pPr>
        <w:pStyle w:val="ListParagraph"/>
        <w:numPr>
          <w:ilvl w:val="0"/>
          <w:numId w:val="4"/>
        </w:numPr>
      </w:pPr>
      <w:r>
        <w:rPr>
          <w:b/>
          <w:bCs/>
        </w:rPr>
        <w:t xml:space="preserve">Disability insurance</w:t>
      </w:r>
    </w:p>
    <w:p>
      <w:pPr>
        <w:pStyle w:val="ListParagraph"/>
        <w:numPr>
          <w:ilvl w:val="0"/>
          <w:numId w:val="4"/>
        </w:numPr>
      </w:pPr>
      <w:r>
        <w:rPr>
          <w:b/>
          <w:bCs/>
        </w:rPr>
        <w:t xml:space="preserve">Retirement/pension contributions</w:t>
      </w:r>
    </w:p>
    <w:p>
      <w:pPr>
        <w:pStyle w:val="ListParagraph"/>
        <w:numPr>
          <w:ilvl w:val="0"/>
          <w:numId w:val="4"/>
        </w:numPr>
      </w:pPr>
      <w:r>
        <w:rPr>
          <w:b/>
          <w:bCs/>
        </w:rPr>
        <w:t xml:space="preserve">Family allowances</w:t>
      </w:r>
      <w:r>
        <w:t xml:space="preserve"> (Professor Hornig has a dependent daughter)</w:t>
      </w:r>
    </w:p>
    <w:p>
      <w:pPr>
        <w:pStyle w:val="ListParagraph"/>
        <w:numPr>
          <w:ilvl w:val="0"/>
          <w:numId w:val="4"/>
        </w:numPr>
      </w:pPr>
      <w:r>
        <w:rPr>
          <w:b/>
          <w:bCs/>
        </w:rPr>
        <w:t xml:space="preserve">Survivors' benefits</w:t>
      </w:r>
      <w:r>
        <w:t xml:space="preserve"> (protection for spouse and child in event of death)</w:t>
      </w:r>
    </w:p>
    <w:p>
      <w:pPr>
        <w:spacing w:before="360"/>
      </w:pPr>
    </w:p>
    <w:p>
      <w:pPr>
        <w:pStyle w:val="Heading1"/>
      </w:pPr>
      <w:r>
        <w:t xml:space="preserve">IV. APPLICATION TO PROFESSOR HORNIG'S CASE</w:t>
      </w:r>
    </w:p>
    <w:p>
      <w:pPr>
        <w:pStyle w:val="Heading2"/>
      </w:pPr>
      <w:r>
        <w:t xml:space="preserve">A. Period of Employment</w:t>
      </w:r>
    </w:p>
    <w:p>
      <w:pPr>
        <w:pStyle w:val="BodyText"/>
      </w:pPr>
      <w:r>
        <w:t xml:space="preserve">Professor Hornig has been employed at the Lebanese National Higher Conservatory of Music since 1994 — a period of approximately 31 years.</w:t>
      </w:r>
    </w:p>
    <w:p>
      <w:pPr>
        <w:pStyle w:val="Heading2"/>
      </w:pPr>
      <w:r>
        <w:t xml:space="preserve">B. Employer Failures Under Opinion 1266/2015 and Decree 17/1964</w:t>
      </w:r>
    </w:p>
    <w:p>
      <w:pPr>
        <w:pStyle w:val="BodyText"/>
      </w:pPr>
      <w:r>
        <w:t xml:space="preserve">Based on Opinion 1266/2015 and its reference to Decree 17/1964, the Conservatory was obligated to pay for:</w:t>
      </w:r>
    </w:p>
    <w:p>
      <w:pPr>
        <w:pStyle w:val="Heading3"/>
      </w:pPr>
      <w:r>
        <w:t xml:space="preserve">1. Residency Fees</w:t>
      </w:r>
    </w:p>
    <w:p>
      <w:pPr>
        <w:pStyle w:val="BodyText"/>
      </w:pPr>
      <w:r>
        <w:rPr>
          <w:b/>
          <w:bCs/>
        </w:rPr>
        <w:t xml:space="preserve">Status: </w:t>
      </w:r>
      <w:r>
        <w:t xml:space="preserve">Professor Hornig paid his own residency fees from 1994 to approximately 2009-2010 — a period of approximately 15-17 years.</w:t>
      </w:r>
    </w:p>
    <w:p>
      <w:pPr>
        <w:pStyle w:val="BodyText"/>
      </w:pPr>
      <w:r>
        <w:rPr>
          <w:b/>
          <w:bCs/>
        </w:rPr>
        <w:t xml:space="preserve">Employer Liability: </w:t>
      </w:r>
      <w:r>
        <w:t xml:space="preserve">The Conservatory must reimburse all residency fees paid by Professor Hornig during this period, with interest.</w:t>
      </w:r>
    </w:p>
    <w:p>
      <w:pPr>
        <w:pStyle w:val="Heading3"/>
      </w:pPr>
      <w:r>
        <w:t xml:space="preserve">2. Work Permit Fees</w:t>
      </w:r>
    </w:p>
    <w:p>
      <w:pPr>
        <w:pStyle w:val="BodyText"/>
      </w:pPr>
      <w:r>
        <w:rPr>
          <w:b/>
          <w:bCs/>
        </w:rPr>
        <w:t xml:space="preserve">Status: </w:t>
      </w:r>
      <w:r>
        <w:t xml:space="preserve">Professor Hornig paid his own work permit fees from 1994 to approximately 2009-2010 — a period of approximately 15-17 years.</w:t>
      </w:r>
    </w:p>
    <w:p>
      <w:pPr>
        <w:pStyle w:val="BodyText"/>
      </w:pPr>
      <w:r>
        <w:rPr>
          <w:b/>
          <w:bCs/>
        </w:rPr>
        <w:t xml:space="preserve">Employer Liability: </w:t>
      </w:r>
      <w:r>
        <w:t xml:space="preserve">The Conservatory must reimburse all work permit fees paid by Professor Hornig during this period, with interest.</w:t>
      </w:r>
    </w:p>
    <w:p>
      <w:pPr>
        <w:pStyle w:val="Heading3"/>
      </w:pPr>
      <w:r>
        <w:t xml:space="preserve">3. Insurance</w:t>
      </w:r>
    </w:p>
    <w:p>
      <w:pPr>
        <w:pStyle w:val="BodyText"/>
      </w:pPr>
      <w:r>
        <w:rPr>
          <w:b/>
          <w:bCs/>
        </w:rPr>
        <w:t xml:space="preserve">Status: </w:t>
      </w:r>
      <w:r>
        <w:t xml:space="preserve">The Conservatory failed to provide any of the following:</w:t>
      </w:r>
    </w:p>
    <w:p>
      <w:pPr>
        <w:pStyle w:val="ListParagraph"/>
        <w:numPr>
          <w:ilvl w:val="0"/>
          <w:numId w:val="5"/>
        </w:numPr>
      </w:pPr>
      <w:r>
        <w:t xml:space="preserve">Health insurance coverage</w:t>
      </w:r>
    </w:p>
    <w:p>
      <w:pPr>
        <w:pStyle w:val="ListParagraph"/>
        <w:numPr>
          <w:ilvl w:val="0"/>
          <w:numId w:val="5"/>
        </w:numPr>
      </w:pPr>
      <w:r>
        <w:t xml:space="preserve">Work accident insurance</w:t>
      </w:r>
    </w:p>
    <w:p>
      <w:pPr>
        <w:pStyle w:val="ListParagraph"/>
        <w:numPr>
          <w:ilvl w:val="0"/>
          <w:numId w:val="5"/>
        </w:numPr>
      </w:pPr>
      <w:r>
        <w:t xml:space="preserve">Disability insurance</w:t>
      </w:r>
    </w:p>
    <w:p>
      <w:pPr>
        <w:pStyle w:val="ListParagraph"/>
        <w:numPr>
          <w:ilvl w:val="0"/>
          <w:numId w:val="5"/>
        </w:numPr>
      </w:pPr>
      <w:r>
        <w:t xml:space="preserve">Pension/retirement contributions</w:t>
      </w:r>
    </w:p>
    <w:p>
      <w:pPr>
        <w:pStyle w:val="ListParagraph"/>
        <w:numPr>
          <w:ilvl w:val="0"/>
          <w:numId w:val="5"/>
        </w:numPr>
      </w:pPr>
      <w:r>
        <w:t xml:space="preserve">Family allowances</w:t>
      </w:r>
    </w:p>
    <w:p>
      <w:pPr>
        <w:pStyle w:val="ListParagraph"/>
        <w:numPr>
          <w:ilvl w:val="0"/>
          <w:numId w:val="5"/>
        </w:numPr>
      </w:pPr>
      <w:r>
        <w:t xml:space="preserve">Survivors' benefits</w:t>
      </w:r>
    </w:p>
    <w:p>
      <w:pPr>
        <w:pStyle w:val="BodyText"/>
      </w:pPr>
      <w:r>
        <w:rPr>
          <w:b/>
          <w:bCs/>
        </w:rPr>
        <w:t xml:space="preserve">Employer Liability: </w:t>
      </w:r>
      <w:r>
        <w:t xml:space="preserve">The Conservatory must compensate Professor Hornig for the value of all insurance coverage he was entitled to but did not receive over 31 years of employment. This includes:</w:t>
      </w:r>
    </w:p>
    <w:p>
      <w:pPr>
        <w:pStyle w:val="ListParagraph"/>
        <w:numPr>
          <w:ilvl w:val="0"/>
          <w:numId w:val="5"/>
        </w:numPr>
      </w:pPr>
      <w:r>
        <w:t xml:space="preserve">The cost of health insurance premiums for 31 years</w:t>
      </w:r>
    </w:p>
    <w:p>
      <w:pPr>
        <w:pStyle w:val="ListParagraph"/>
        <w:numPr>
          <w:ilvl w:val="0"/>
          <w:numId w:val="5"/>
        </w:numPr>
      </w:pPr>
      <w:r>
        <w:t xml:space="preserve">All medical expenses paid out-of-pocket that would have been covered</w:t>
      </w:r>
    </w:p>
    <w:p>
      <w:pPr>
        <w:pStyle w:val="ListParagraph"/>
        <w:numPr>
          <w:ilvl w:val="0"/>
          <w:numId w:val="5"/>
        </w:numPr>
      </w:pPr>
      <w:r>
        <w:t xml:space="preserve">The value of unpaid pension contributions</w:t>
      </w:r>
    </w:p>
    <w:p>
      <w:pPr>
        <w:pStyle w:val="ListParagraph"/>
        <w:numPr>
          <w:ilvl w:val="0"/>
          <w:numId w:val="5"/>
        </w:numPr>
      </w:pPr>
      <w:r>
        <w:t xml:space="preserve">Unpaid family allowances for his dependent daughter</w:t>
      </w:r>
    </w:p>
    <w:p>
      <w:pPr>
        <w:pStyle w:val="ListParagraph"/>
        <w:numPr>
          <w:ilvl w:val="0"/>
          <w:numId w:val="5"/>
        </w:numPr>
      </w:pPr>
      <w:r>
        <w:t xml:space="preserve">The actuarial value of survivors' benefits his family was denied</w:t>
      </w:r>
    </w:p>
    <w:p>
      <w:pPr>
        <w:spacing w:before="360"/>
      </w:pPr>
    </w:p>
    <w:p>
      <w:pPr>
        <w:pStyle w:val="Heading2"/>
      </w:pPr>
      <w:r>
        <w:t xml:space="preserve">C. Additional Failure: State Employee Regime</w:t>
      </w:r>
    </w:p>
    <w:p>
      <w:pPr>
        <w:pStyle w:val="BodyText"/>
      </w:pPr>
      <w:r>
        <w:t xml:space="preserve">Beyond the employer's obligations under Decree 17/1964, Opinion 1266/2015 also established that Professor Hornig falls under the </w:t>
      </w:r>
      <w:r>
        <w:rPr>
          <w:b/>
          <w:bCs/>
        </w:rPr>
        <w:t xml:space="preserve">State Employee regime</w:t>
      </w:r>
      <w:r>
        <w:t xml:space="preserve"> for healthcare and retirement.</w:t>
      </w:r>
    </w:p>
    <w:p>
      <w:pPr>
        <w:pStyle w:val="BodyText"/>
      </w:pPr>
      <w:r>
        <w:t xml:space="preserve">This means he was entitled to:</w:t>
      </w:r>
    </w:p>
    <w:p>
      <w:pPr>
        <w:pStyle w:val="ListParagraph"/>
        <w:numPr>
          <w:ilvl w:val="0"/>
          <w:numId w:val="4"/>
        </w:numPr>
      </w:pPr>
      <w:r>
        <w:t xml:space="preserve">Healthcare through the </w:t>
      </w:r>
      <w:r>
        <w:rPr>
          <w:b/>
          <w:bCs/>
        </w:rPr>
        <w:t xml:space="preserve">Cooperative for Civil Servants</w:t>
      </w:r>
      <w:r>
        <w:t xml:space="preserve"> (تعاونية موظفي الدولة)</w:t>
      </w:r>
    </w:p>
    <w:p>
      <w:pPr>
        <w:pStyle w:val="ListParagraph"/>
        <w:numPr>
          <w:ilvl w:val="0"/>
          <w:numId w:val="4"/>
        </w:numPr>
      </w:pPr>
      <w:r>
        <w:t xml:space="preserve">Pension through the </w:t>
      </w:r>
      <w:r>
        <w:rPr>
          <w:b/>
          <w:bCs/>
        </w:rPr>
        <w:t xml:space="preserve">civil service pension system</w:t>
      </w:r>
    </w:p>
    <w:p>
      <w:pPr>
        <w:pStyle w:val="BodyText"/>
      </w:pPr>
      <w:r>
        <w:t xml:space="preserve">Neither the Conservatory nor the Ministry of Culture took steps to enroll Professor Hornig in these systems. This constitutes a separate failure by the State to implement its own binding legal determination.</w:t>
      </w:r>
    </w:p>
    <w:p>
      <w:pPr>
        <w:spacing w:before="360"/>
      </w:pPr>
    </w:p>
    <w:p>
      <w:pPr>
        <w:pStyle w:val="Heading1"/>
      </w:pPr>
      <w:r>
        <w:t xml:space="preserve">V. LEGAL CONCLUSIONS</w:t>
      </w:r>
    </w:p>
    <w:p>
      <w:pPr>
        <w:pStyle w:val="ListParagraph"/>
        <w:numPr>
          <w:ilvl w:val="0"/>
          <w:numId w:val="6"/>
        </w:numPr>
      </w:pPr>
      <w:r>
        <w:rPr>
          <w:b/>
          <w:bCs/>
        </w:rPr>
        <w:t xml:space="preserve">Opinion 1266/2015 is a binding administrative act </w:t>
      </w:r>
      <w:r>
        <w:t xml:space="preserve">that has not been challenged, withdrawn, modified, or annulled in the ten years since its issuance. It carries the force of law.</w:t>
      </w:r>
    </w:p>
    <w:p>
      <w:pPr>
        <w:pStyle w:val="ListParagraph"/>
        <w:numPr>
          <w:ilvl w:val="0"/>
          <w:numId w:val="6"/>
        </w:numPr>
      </w:pPr>
      <w:r>
        <w:rPr>
          <w:b/>
          <w:bCs/>
        </w:rPr>
        <w:t xml:space="preserve">The Opinion establishes employer responsibility </w:t>
      </w:r>
      <w:r>
        <w:t xml:space="preserve">for residency fees, work permit fees, employment contract, and insurance under Decree 17/1964.</w:t>
      </w:r>
    </w:p>
    <w:p>
      <w:pPr>
        <w:pStyle w:val="ListParagraph"/>
        <w:numPr>
          <w:ilvl w:val="0"/>
          <w:numId w:val="6"/>
        </w:numPr>
      </w:pPr>
      <w:r>
        <w:rPr>
          <w:b/>
          <w:bCs/>
        </w:rPr>
        <w:t xml:space="preserve">The term "insurance" (التأمين) </w:t>
      </w:r>
      <w:r>
        <w:t xml:space="preserve">is unqualified and must be interpreted broadly to include all forms of employment-related insurance, consistent with Lebanon's international treaty obligations.</w:t>
      </w:r>
    </w:p>
    <w:p>
      <w:pPr>
        <w:pStyle w:val="ListParagraph"/>
        <w:numPr>
          <w:ilvl w:val="0"/>
          <w:numId w:val="6"/>
        </w:numPr>
      </w:pPr>
      <w:r>
        <w:rPr>
          <w:b/>
          <w:bCs/>
        </w:rPr>
        <w:t xml:space="preserve">The Conservatory has failed </w:t>
      </w:r>
      <w:r>
        <w:t xml:space="preserve">to meet its obligations under Decree 17/1964 for approximately 31 years.</w:t>
      </w:r>
    </w:p>
    <w:p>
      <w:pPr>
        <w:pStyle w:val="ListParagraph"/>
        <w:numPr>
          <w:ilvl w:val="0"/>
          <w:numId w:val="6"/>
        </w:numPr>
      </w:pPr>
      <w:r>
        <w:rPr>
          <w:b/>
          <w:bCs/>
        </w:rPr>
        <w:t xml:space="preserve">Professor Hornig is entitled to reimbursement </w:t>
      </w:r>
      <w:r>
        <w:t xml:space="preserve">of all residency and work permit fees he paid (approximately 1994-2010), with interest.</w:t>
      </w:r>
    </w:p>
    <w:p>
      <w:pPr>
        <w:pStyle w:val="ListParagraph"/>
        <w:numPr>
          <w:ilvl w:val="0"/>
          <w:numId w:val="6"/>
        </w:numPr>
      </w:pPr>
      <w:r>
        <w:rPr>
          <w:b/>
          <w:bCs/>
        </w:rPr>
        <w:t xml:space="preserve">Professor Hornig is entitled to compensation </w:t>
      </w:r>
      <w:r>
        <w:t xml:space="preserve">for the value of all insurance coverage he was denied, including health insurance, work accident insurance, disability insurance, pension contributions, family allowances, and survivors' benefits.</w:t>
      </w:r>
    </w:p>
    <w:p>
      <w:pPr>
        <w:pStyle w:val="ListParagraph"/>
        <w:numPr>
          <w:ilvl w:val="0"/>
          <w:numId w:val="6"/>
        </w:numPr>
      </w:pPr>
      <w:r>
        <w:rPr>
          <w:b/>
          <w:bCs/>
        </w:rPr>
        <w:t xml:space="preserve">The State of Lebanon has additionally failed </w:t>
      </w:r>
      <w:r>
        <w:t xml:space="preserve">to implement Opinion 1266/2015 by enrolling Professor Hornig in the Cooperative for Civil Servants and the civil service pension system, as required by his classification under the State Employee regime.</w:t>
      </w:r>
    </w:p>
    <w:p>
      <w:pPr>
        <w:pStyle w:val="ListParagraph"/>
        <w:numPr>
          <w:ilvl w:val="0"/>
          <w:numId w:val="6"/>
        </w:numPr>
      </w:pPr>
      <w:r>
        <w:rPr>
          <w:b/>
          <w:bCs/>
        </w:rPr>
        <w:t xml:space="preserve">Opinion 1266/2015 confirms Professor Hornig's exclusion from Labor Law THREE times </w:t>
      </w:r>
      <w:r>
        <w:t xml:space="preserve">(in أولاً twice and in ثالثاً once), demonstrating the Ministry's emphatic and unambiguous determination of his classification.</w:t>
      </w:r>
    </w:p>
    <w:p>
      <w:pPr>
        <w:spacing w:before="480"/>
      </w:pPr>
    </w:p>
    <w:p>
      <w:pPr>
        <w:pStyle w:val="Heading1"/>
      </w:pPr>
      <w:r>
        <w:t xml:space="preserve">VI. ANNOTATION REFERENCE KEY</w:t>
      </w:r>
    </w:p>
    <w:p>
      <w:pPr>
        <w:pStyle w:val="BodyText"/>
      </w:pPr>
      <w:r>
        <w:t xml:space="preserve">The following table cross-references the numbered annotations in the accompanying annotated images of Opinion 1266/2015:</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6660"/>
      </w:tblGrid>
      <w:tr>
        <w:tc>
          <w:tcPr>
            <w:tcW w:type="dxa" w:w="1200"/>
            <w:tcBorders>
              <w:top w:val="single" w:color="000000" w:sz="1"/>
              <w:left w:val="single" w:color="000000" w:sz="1"/>
              <w:bottom w:val="single" w:color="000000" w:sz="1"/>
              <w:right w:val="single" w:color="000000" w:sz="1"/>
            </w:tcBorders>
            <w:shd w:fill="E0E0E0" w:val="clear"/>
          </w:tcPr>
          <w:p>
            <w:r>
              <w:rPr>
                <w:b/>
                <w:bCs/>
              </w:rPr>
              <w:t xml:space="preserve">Number</w:t>
            </w:r>
          </w:p>
        </w:tc>
        <w:tc>
          <w:tcPr>
            <w:tcW w:type="dxa" w:w="1500"/>
            <w:tcBorders>
              <w:top w:val="single" w:color="000000" w:sz="1"/>
              <w:left w:val="single" w:color="000000" w:sz="1"/>
              <w:bottom w:val="single" w:color="000000" w:sz="1"/>
              <w:right w:val="single" w:color="000000" w:sz="1"/>
            </w:tcBorders>
            <w:shd w:fill="E0E0E0" w:val="clear"/>
          </w:tcPr>
          <w:p>
            <w:r>
              <w:rPr>
                <w:b/>
                <w:bCs/>
              </w:rPr>
              <w:t xml:space="preserve">Color</w:t>
            </w:r>
          </w:p>
        </w:tc>
        <w:tc>
          <w:tcPr>
            <w:tcW w:type="dxa" w:w="6660"/>
            <w:tcBorders>
              <w:top w:val="single" w:color="000000" w:sz="1"/>
              <w:left w:val="single" w:color="000000" w:sz="1"/>
              <w:bottom w:val="single" w:color="000000" w:sz="1"/>
              <w:right w:val="single" w:color="000000" w:sz="1"/>
            </w:tcBorders>
            <w:shd w:fill="E0E0E0" w:val="clear"/>
          </w:tcPr>
          <w:p>
            <w:r>
              <w:rPr>
                <w:b/>
                <w:bCs/>
              </w:rPr>
              <w:t xml:space="preserve">Content</w:t>
            </w:r>
          </w:p>
        </w:tc>
      </w:tr>
      <w:tr>
        <w:tc>
          <w:tcPr>
            <w:tcW w:type="dxa" w:w="1200"/>
            <w:tcBorders>
              <w:top w:val="single" w:color="000000" w:sz="1"/>
              <w:left w:val="single" w:color="000000" w:sz="1"/>
              <w:bottom w:val="single" w:color="000000" w:sz="1"/>
              <w:right w:val="single" w:color="000000" w:sz="1"/>
            </w:tcBorders>
          </w:tcPr>
          <w:p>
            <w:r>
              <w:rPr>
                <w:b/>
                <w:bCs/>
              </w:rPr>
              <w:t xml:space="preserve">①</w:t>
            </w:r>
          </w:p>
        </w:tc>
        <w:tc>
          <w:tcPr>
            <w:tcW w:type="dxa" w:w="1500"/>
            <w:tcBorders>
              <w:top w:val="single" w:color="000000" w:sz="1"/>
              <w:left w:val="single" w:color="000000" w:sz="1"/>
              <w:bottom w:val="single" w:color="000000" w:sz="1"/>
              <w:right w:val="single" w:color="000000" w:sz="1"/>
            </w:tcBorders>
          </w:tcPr>
          <w:p>
            <w:r>
              <w:rPr>
                <w:color w:val="DC0000"/>
              </w:rPr>
              <w:t xml:space="preserve">RED</w:t>
            </w:r>
          </w:p>
        </w:tc>
        <w:tc>
          <w:tcPr>
            <w:tcW w:type="dxa" w:w="6660"/>
            <w:tcBorders>
              <w:top w:val="single" w:color="000000" w:sz="1"/>
              <w:left w:val="single" w:color="000000" w:sz="1"/>
              <w:bottom w:val="single" w:color="000000" w:sz="1"/>
              <w:right w:val="single" w:color="000000" w:sz="1"/>
            </w:tcBorders>
          </w:tcPr>
          <w:p>
            <w:r>
              <w:t xml:space="preserve">أولاً - Classification outside Labor Law</w:t>
            </w:r>
          </w:p>
        </w:tc>
      </w:tr>
      <w:tr>
        <w:tc>
          <w:tcPr>
            <w:tcW w:type="dxa" w:w="1200"/>
            <w:tcBorders>
              <w:top w:val="single" w:color="000000" w:sz="1"/>
              <w:left w:val="single" w:color="000000" w:sz="1"/>
              <w:bottom w:val="single" w:color="000000" w:sz="1"/>
              <w:right w:val="single" w:color="000000" w:sz="1"/>
            </w:tcBorders>
          </w:tcPr>
          <w:p>
            <w:r>
              <w:rPr>
                <w:b/>
                <w:bCs/>
              </w:rPr>
              <w:t xml:space="preserve">②</w:t>
            </w:r>
          </w:p>
        </w:tc>
        <w:tc>
          <w:tcPr>
            <w:tcW w:type="dxa" w:w="1500"/>
            <w:tcBorders>
              <w:top w:val="single" w:color="000000" w:sz="1"/>
              <w:left w:val="single" w:color="000000" w:sz="1"/>
              <w:bottom w:val="single" w:color="000000" w:sz="1"/>
              <w:right w:val="single" w:color="000000" w:sz="1"/>
            </w:tcBorders>
          </w:tcPr>
          <w:p>
            <w:r>
              <w:rPr>
                <w:color w:val="800080"/>
              </w:rPr>
              <w:t xml:space="preserve">PURPLE</w:t>
            </w:r>
          </w:p>
        </w:tc>
        <w:tc>
          <w:tcPr>
            <w:tcW w:type="dxa" w:w="6660"/>
            <w:tcBorders>
              <w:top w:val="single" w:color="000000" w:sz="1"/>
              <w:left w:val="single" w:color="000000" w:sz="1"/>
              <w:bottom w:val="single" w:color="000000" w:sz="1"/>
              <w:right w:val="single" w:color="000000" w:sz="1"/>
            </w:tcBorders>
          </w:tcPr>
          <w:p>
            <w:r>
              <w:t xml:space="preserve">Decision 2/1995 Article 17 reference</w:t>
            </w:r>
          </w:p>
        </w:tc>
      </w:tr>
      <w:tr>
        <w:tc>
          <w:tcPr>
            <w:tcW w:type="dxa" w:w="1200"/>
            <w:tcBorders>
              <w:top w:val="single" w:color="000000" w:sz="1"/>
              <w:left w:val="single" w:color="000000" w:sz="1"/>
              <w:bottom w:val="single" w:color="000000" w:sz="1"/>
              <w:right w:val="single" w:color="000000" w:sz="1"/>
            </w:tcBorders>
          </w:tcPr>
          <w:p>
            <w:r>
              <w:rPr>
                <w:b/>
                <w:bCs/>
              </w:rPr>
              <w:t xml:space="preserve">③</w:t>
            </w:r>
          </w:p>
        </w:tc>
        <w:tc>
          <w:tcPr>
            <w:tcW w:type="dxa" w:w="1500"/>
            <w:tcBorders>
              <w:top w:val="single" w:color="000000" w:sz="1"/>
              <w:left w:val="single" w:color="000000" w:sz="1"/>
              <w:bottom w:val="single" w:color="000000" w:sz="1"/>
              <w:right w:val="single" w:color="000000" w:sz="1"/>
            </w:tcBorders>
          </w:tcPr>
          <w:p>
            <w:r>
              <w:rPr>
                <w:color w:val="FF8C00"/>
              </w:rPr>
              <w:t xml:space="preserve">ORANGE</w:t>
            </w:r>
          </w:p>
        </w:tc>
        <w:tc>
          <w:tcPr>
            <w:tcW w:type="dxa" w:w="6660"/>
            <w:tcBorders>
              <w:top w:val="single" w:color="000000" w:sz="1"/>
              <w:left w:val="single" w:color="000000" w:sz="1"/>
              <w:bottom w:val="single" w:color="000000" w:sz="1"/>
              <w:right w:val="single" w:color="000000" w:sz="1"/>
            </w:tcBorders>
          </w:tcPr>
          <w:p>
            <w:r>
              <w:t xml:space="preserve">State Employee regime (موظفي الدولة)</w:t>
            </w:r>
          </w:p>
        </w:tc>
      </w:tr>
      <w:tr>
        <w:tc>
          <w:tcPr>
            <w:tcW w:type="dxa" w:w="1200"/>
            <w:tcBorders>
              <w:top w:val="single" w:color="000000" w:sz="1"/>
              <w:left w:val="single" w:color="000000" w:sz="1"/>
              <w:bottom w:val="single" w:color="000000" w:sz="1"/>
              <w:right w:val="single" w:color="000000" w:sz="1"/>
            </w:tcBorders>
          </w:tcPr>
          <w:p>
            <w:r>
              <w:rPr>
                <w:b/>
                <w:bCs/>
              </w:rPr>
              <w:t xml:space="preserve">④</w:t>
            </w:r>
          </w:p>
        </w:tc>
        <w:tc>
          <w:tcPr>
            <w:tcW w:type="dxa" w:w="1500"/>
            <w:tcBorders>
              <w:top w:val="single" w:color="000000" w:sz="1"/>
              <w:left w:val="single" w:color="000000" w:sz="1"/>
              <w:bottom w:val="single" w:color="000000" w:sz="1"/>
              <w:right w:val="single" w:color="000000" w:sz="1"/>
            </w:tcBorders>
          </w:tcPr>
          <w:p>
            <w:r>
              <w:rPr>
                <w:color w:val="000000"/>
              </w:rPr>
              <w:t xml:space="preserve">BLACK</w:t>
            </w:r>
          </w:p>
        </w:tc>
        <w:tc>
          <w:tcPr>
            <w:tcW w:type="dxa" w:w="6660"/>
            <w:tcBorders>
              <w:top w:val="single" w:color="000000" w:sz="1"/>
              <w:left w:val="single" w:color="000000" w:sz="1"/>
              <w:bottom w:val="single" w:color="000000" w:sz="1"/>
              <w:right w:val="single" w:color="000000" w:sz="1"/>
            </w:tcBorders>
          </w:tcPr>
          <w:p>
            <w:r>
              <w:t xml:space="preserve">Ministry references</w:t>
            </w:r>
          </w:p>
        </w:tc>
      </w:tr>
      <w:tr>
        <w:tc>
          <w:tcPr>
            <w:tcW w:type="dxa" w:w="1200"/>
            <w:tcBorders>
              <w:top w:val="single" w:color="000000" w:sz="1"/>
              <w:left w:val="single" w:color="000000" w:sz="1"/>
              <w:bottom w:val="single" w:color="000000" w:sz="1"/>
              <w:right w:val="single" w:color="000000" w:sz="1"/>
            </w:tcBorders>
          </w:tcPr>
          <w:p>
            <w:r>
              <w:rPr>
                <w:b/>
                <w:bCs/>
              </w:rPr>
              <w:t xml:space="preserve">⑤</w:t>
            </w:r>
          </w:p>
        </w:tc>
        <w:tc>
          <w:tcPr>
            <w:tcW w:type="dxa" w:w="1500"/>
            <w:tcBorders>
              <w:top w:val="single" w:color="000000" w:sz="1"/>
              <w:left w:val="single" w:color="000000" w:sz="1"/>
              <w:bottom w:val="single" w:color="000000" w:sz="1"/>
              <w:right w:val="single" w:color="000000" w:sz="1"/>
            </w:tcBorders>
          </w:tcPr>
          <w:p>
            <w:r>
              <w:rPr>
                <w:color w:val="0050C8"/>
              </w:rPr>
              <w:t xml:space="preserve">BLUE</w:t>
            </w:r>
          </w:p>
        </w:tc>
        <w:tc>
          <w:tcPr>
            <w:tcW w:type="dxa" w:w="6660"/>
            <w:tcBorders>
              <w:top w:val="single" w:color="000000" w:sz="1"/>
              <w:left w:val="single" w:color="000000" w:sz="1"/>
              <w:bottom w:val="single" w:color="000000" w:sz="1"/>
              <w:right w:val="single" w:color="000000" w:sz="1"/>
            </w:tcBorders>
          </w:tcPr>
          <w:p>
            <w:r>
              <w:t xml:space="preserve">ثانياً - Decree 17/1964, employer obligations</w:t>
            </w:r>
          </w:p>
        </w:tc>
      </w:tr>
      <w:tr>
        <w:tc>
          <w:tcPr>
            <w:tcW w:type="dxa" w:w="1200"/>
            <w:tcBorders>
              <w:top w:val="single" w:color="000000" w:sz="1"/>
              <w:left w:val="single" w:color="000000" w:sz="1"/>
              <w:bottom w:val="single" w:color="000000" w:sz="1"/>
              <w:right w:val="single" w:color="000000" w:sz="1"/>
            </w:tcBorders>
          </w:tcPr>
          <w:p>
            <w:r>
              <w:rPr>
                <w:b/>
                <w:bCs/>
              </w:rPr>
              <w:t xml:space="preserve">⑥</w:t>
            </w:r>
          </w:p>
        </w:tc>
        <w:tc>
          <w:tcPr>
            <w:tcW w:type="dxa" w:w="1500"/>
            <w:tcBorders>
              <w:top w:val="single" w:color="000000" w:sz="1"/>
              <w:left w:val="single" w:color="000000" w:sz="1"/>
              <w:bottom w:val="single" w:color="000000" w:sz="1"/>
              <w:right w:val="single" w:color="000000" w:sz="1"/>
            </w:tcBorders>
          </w:tcPr>
          <w:p>
            <w:r>
              <w:rPr>
                <w:color w:val="009600"/>
              </w:rPr>
              <w:t xml:space="preserve">GREEN</w:t>
            </w:r>
          </w:p>
        </w:tc>
        <w:tc>
          <w:tcPr>
            <w:tcW w:type="dxa" w:w="6660"/>
            <w:tcBorders>
              <w:top w:val="single" w:color="000000" w:sz="1"/>
              <w:left w:val="single" w:color="000000" w:sz="1"/>
              <w:bottom w:val="single" w:color="000000" w:sz="1"/>
              <w:right w:val="single" w:color="000000" w:sz="1"/>
            </w:tcBorders>
          </w:tcPr>
          <w:p>
            <w:r>
              <w:rPr>
                <w:b/>
                <w:bCs/>
              </w:rPr>
              <w:t xml:space="preserve">INSURANCE (التأمين) — CRITICAL TERM</w:t>
            </w:r>
          </w:p>
        </w:tc>
      </w:tr>
      <w:tr>
        <w:tc>
          <w:tcPr>
            <w:tcW w:type="dxa" w:w="1200"/>
            <w:tcBorders>
              <w:top w:val="single" w:color="000000" w:sz="1"/>
              <w:left w:val="single" w:color="000000" w:sz="1"/>
              <w:bottom w:val="single" w:color="000000" w:sz="1"/>
              <w:right w:val="single" w:color="000000" w:sz="1"/>
            </w:tcBorders>
          </w:tcPr>
          <w:p>
            <w:r>
              <w:rPr>
                <w:b/>
                <w:bCs/>
              </w:rPr>
              <w:t xml:space="preserve">⑦</w:t>
            </w:r>
          </w:p>
        </w:tc>
        <w:tc>
          <w:tcPr>
            <w:tcW w:type="dxa" w:w="1500"/>
            <w:tcBorders>
              <w:top w:val="single" w:color="000000" w:sz="1"/>
              <w:left w:val="single" w:color="000000" w:sz="1"/>
              <w:bottom w:val="single" w:color="000000" w:sz="1"/>
              <w:right w:val="single" w:color="000000" w:sz="1"/>
            </w:tcBorders>
          </w:tcPr>
          <w:p>
            <w:r>
              <w:rPr>
                <w:color w:val="DC0000"/>
              </w:rPr>
              <w:t xml:space="preserve">RED</w:t>
            </w:r>
          </w:p>
        </w:tc>
        <w:tc>
          <w:tcPr>
            <w:tcW w:type="dxa" w:w="6660"/>
            <w:tcBorders>
              <w:top w:val="single" w:color="000000" w:sz="1"/>
              <w:left w:val="single" w:color="000000" w:sz="1"/>
              <w:bottom w:val="single" w:color="000000" w:sz="1"/>
              <w:right w:val="single" w:color="000000" w:sz="1"/>
            </w:tcBorders>
          </w:tcPr>
          <w:p>
            <w:r>
              <w:t xml:space="preserve">ثالثاً - Third Labor Law exclusion</w:t>
            </w:r>
          </w:p>
        </w:tc>
      </w:tr>
      <w:tr>
        <w:tc>
          <w:tcPr>
            <w:tcW w:type="dxa" w:w="1200"/>
            <w:tcBorders>
              <w:top w:val="single" w:color="000000" w:sz="1"/>
              <w:left w:val="single" w:color="000000" w:sz="1"/>
              <w:bottom w:val="single" w:color="000000" w:sz="1"/>
              <w:right w:val="single" w:color="000000" w:sz="1"/>
            </w:tcBorders>
          </w:tcPr>
          <w:p>
            <w:r>
              <w:rPr>
                <w:b/>
                <w:bCs/>
              </w:rPr>
              <w:t xml:space="preserve">⑧</w:t>
            </w:r>
          </w:p>
        </w:tc>
        <w:tc>
          <w:tcPr>
            <w:tcW w:type="dxa" w:w="1500"/>
            <w:tcBorders>
              <w:top w:val="single" w:color="000000" w:sz="1"/>
              <w:left w:val="single" w:color="000000" w:sz="1"/>
              <w:bottom w:val="single" w:color="000000" w:sz="1"/>
              <w:right w:val="single" w:color="000000" w:sz="1"/>
            </w:tcBorders>
          </w:tcPr>
          <w:p>
            <w:r>
              <w:rPr>
                <w:color w:val="000000"/>
              </w:rPr>
              <w:t xml:space="preserve">BLACK</w:t>
            </w:r>
          </w:p>
        </w:tc>
        <w:tc>
          <w:tcPr>
            <w:tcW w:type="dxa" w:w="6660"/>
            <w:tcBorders>
              <w:top w:val="single" w:color="000000" w:sz="1"/>
              <w:left w:val="single" w:color="000000" w:sz="1"/>
              <w:bottom w:val="single" w:color="000000" w:sz="1"/>
              <w:right w:val="single" w:color="000000" w:sz="1"/>
            </w:tcBorders>
          </w:tcPr>
          <w:p>
            <w:r>
              <w:t xml:space="preserve">Instruction to consult with Conservatory</w:t>
            </w:r>
          </w:p>
        </w:tc>
      </w:tr>
    </w:tbl>
    <w:p>
      <w:pPr>
        <w:spacing w:before="480"/>
      </w:pPr>
    </w:p>
    <w:p>
      <w:pPr>
        <w:spacing w:before="480"/>
        <w:jc w:val="center"/>
      </w:pPr>
      <w:r>
        <w:t xml:space="preserve">— END OF ANNOTATED STATEMENT —</w:t>
      </w:r>
    </w:p>
    <w:p>
      <w:pPr>
        <w:spacing w:before="480"/>
      </w:pPr>
    </w:p>
    <w:p>
      <w:pPr>
        <w:pStyle w:val="BodyText"/>
      </w:pPr>
      <w:r>
        <w:rPr>
          <w:b/>
          <w:bCs/>
        </w:rPr>
        <w:t xml:space="preserve">Prepared: </w:t>
      </w:r>
      <w:r>
        <w:t xml:space="preserve">November 2025 (Updated)</w:t>
      </w:r>
    </w:p>
    <w:p>
      <w:pPr>
        <w:pStyle w:val="BodyText"/>
      </w:pPr>
      <w:r>
        <w:rPr>
          <w:b/>
          <w:bCs/>
        </w:rPr>
        <w:t xml:space="preserve">Re: </w:t>
      </w:r>
      <w:r>
        <w:t xml:space="preserve">Professor Thomas Hornig</w:t>
      </w:r>
    </w:p>
    <w:p>
      <w:pPr>
        <w:pStyle w:val="BodyText"/>
      </w:pPr>
      <w:r>
        <w:rPr>
          <w:b/>
          <w:bCs/>
        </w:rPr>
        <w:t xml:space="preserve">Position: </w:t>
      </w:r>
      <w:r>
        <w:t xml:space="preserve">Head of Jazz Department, Lebanese National Higher Conservatory of Music</w:t>
      </w:r>
    </w:p>
    <w:p>
      <w:pPr>
        <w:pStyle w:val="BodyText"/>
      </w:pPr>
      <w:r>
        <w:rPr>
          <w:b/>
          <w:bCs/>
        </w:rPr>
        <w:t xml:space="preserve">Employment Period: </w:t>
      </w:r>
      <w:r>
        <w:t xml:space="preserve">1994 – Present (31 years)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sz w:val="20"/>
        <w:szCs w:val="20"/>
      </w:rPr>
      <w:t xml:space="preserve">Annotated Legal Statement — Opinion 1266/2015 (Updated)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lowerRoman"/>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5"/>
    <w:lvlOverride w:ilvl="0">
      <w:startOverride w:val="1"/>
    </w:lvlOverride>
  </w:num>
  <w:num w:numId="4">
    <w:abstractNumId w:val="4"/>
    <w:lvlOverride w:ilvl="0">
      <w:startOverride w:val="1"/>
    </w:lvlOverride>
  </w:num>
  <w:num w:numId="5">
    <w:abstractNumId w:val="3"/>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Times New Roman" w:cs="Times New Roman" w:eastAsia="Times New Roman" w:hAnsi="Times New Roman"/>
      <w:b/>
      <w:bCs/>
      <w:color w:val="000000"/>
      <w:sz w:val="36"/>
      <w:szCs w:val="36"/>
    </w:rPr>
  </w:style>
  <w:style w:type="paragraph" w:styleId="Heading1">
    <w:name w:val="Heading 1"/>
    <w:basedOn w:val="Normal"/>
    <w:next w:val="Normal"/>
    <w:qFormat/>
    <w:pPr>
      <w:spacing w:before="360" w:after="120"/>
      <w:outlineLvl w:val="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before="240" w:after="120"/>
      <w:outlineLvl w:val="1"/>
    </w:pPr>
    <w:rPr>
      <w:rFonts w:ascii="Times New Roman" w:cs="Times New Roman" w:eastAsia="Times New Roman" w:hAnsi="Times New Roman"/>
      <w:b/>
      <w:bCs/>
      <w:color w:val="000000"/>
      <w:sz w:val="26"/>
      <w:szCs w:val="26"/>
    </w:rPr>
  </w:style>
  <w:style w:type="paragraph" w:styleId="Heading3">
    <w:name w:val="Heading 3"/>
    <w:basedOn w:val="Normal"/>
    <w:next w:val="Normal"/>
    <w:qFormat/>
    <w:pPr>
      <w:spacing w:before="200" w:after="100"/>
      <w:outlineLvl w:val="2"/>
    </w:pPr>
    <w:rPr>
      <w:rFonts w:ascii="Times New Roman" w:cs="Times New Roman" w:eastAsia="Times New Roman" w:hAnsi="Times New Roman"/>
      <w:b/>
      <w:bCs/>
      <w:i/>
      <w:iCs/>
      <w:color w:val="000000"/>
      <w:sz w:val="24"/>
      <w:szCs w:val="24"/>
    </w:rPr>
  </w:style>
  <w:style w:type="paragraph" w:styleId="BodyText">
    <w:name w:val="Body Text"/>
    <w:basedOn w:val="Normal"/>
    <w:pPr>
      <w:spacing w:after="200" w:line="276"/>
    </w:pPr>
    <w:rPr>
      <w:rFonts w:ascii="Times New Roman" w:cs="Times New Roman" w:eastAsia="Times New Roman" w:hAnsi="Times New Roman"/>
      <w:sz w:val="24"/>
      <w:szCs w:val="24"/>
    </w:rPr>
  </w:style>
  <w:style w:type="paragraph" w:styleId="Quote">
    <w:name w:val="Quote"/>
    <w:basedOn w:val="Normal"/>
    <w:pPr>
      <w:spacing w:after="200"/>
      <w:ind w:left="720" w:right="720"/>
    </w:pPr>
    <w:rPr>
      <w:rFonts w:ascii="Times New Roman" w:cs="Times New Roman" w:eastAsia="Times New Roman" w:hAnsi="Times New Roman"/>
      <w:i/>
      <w:iCs/>
      <w:sz w:val="24"/>
      <w:szCs w:val="24"/>
    </w:rPr>
  </w:style>
  <w:style w:type="paragraph" w:styleId="AnnotationRef">
    <w:name w:val="Annotation Reference"/>
    <w:basedOn w:val="Normal"/>
    <w:pPr>
      <w:spacing w:after="100"/>
    </w:pPr>
    <w:rPr>
      <w:rFonts w:ascii="Times New Roman" w:cs="Times New Roman" w:eastAsia="Times New Roman" w:hAnsi="Times New Roman"/>
      <w:b/>
      <w:bCs/>
      <w:color w:val="0000A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2025-11-28T06:23:45.026Z</dcterms:created>
  <dcterms:modified xsi:type="dcterms:W3CDTF">2025-11-28T06:23:45.027Z</dcterms:modified>
</cp:coreProperties>
</file>

<file path=docProps/custom.xml><?xml version="1.0" encoding="utf-8"?>
<Properties xmlns="http://schemas.openxmlformats.org/officeDocument/2006/custom-properties" xmlns:vt="http://schemas.openxmlformats.org/officeDocument/2006/docPropsVTypes"/>
</file>